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53" w:rsidRPr="00651253" w:rsidRDefault="00651253" w:rsidP="00651253">
      <w:pPr>
        <w:shd w:val="clear" w:color="auto" w:fill="F23A2C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651253">
        <w:rPr>
          <w:rFonts w:ascii="Arial" w:eastAsia="Times New Roman" w:hAnsi="Arial" w:cs="Arial"/>
          <w:caps/>
          <w:color w:val="FFFFFF"/>
          <w:sz w:val="36"/>
          <w:szCs w:val="36"/>
        </w:rPr>
        <w:t>ИНФОРМАЦИОННОЕ СООБЩЕНИЕ О ПРОВЕДЕНИИ КОНКУРСНОГО ОТБОРА ПО ПРЕДОСТАВЛЕНИЮ ГРАНТОВ НАЧИНАЮЩИМ ФЕРМЕРАМ</w:t>
      </w:r>
    </w:p>
    <w:p w:rsidR="00651253" w:rsidRPr="00651253" w:rsidRDefault="00651253" w:rsidP="0065125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Наименование конкурсного отбора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 Конкурсный отбор крестьянских (фермерских) хозяйств на право получения грантов начинающим фермерам.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Предмет конкурсного отбора: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проведение конкурсного отбора крестьянских (фермерских) хозяйств на право получения в 2019 году грантов начинающим фермерам.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Организатор конкурсного отбора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Министерство сельского хозяйства Челябинской области: 454126, г. Челябинск, ул. Сони Кривой, д. 75; тел./факс: 8 (351) 239-60-05/ 239-60- 08, 239-61-41; </w:t>
      </w:r>
      <w:proofErr w:type="spellStart"/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e-</w:t>
      </w:r>
      <w:hyperlink r:id="rId4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mail</w:t>
        </w:r>
        <w:proofErr w:type="spellEnd"/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: minagro@gov74.ru</w:t>
        </w:r>
      </w:hyperlink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 адрес в интернете: </w:t>
      </w:r>
      <w:hyperlink r:id="rId5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http://www.chelagro.ru.</w:t>
        </w:r>
      </w:hyperlink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Дата начала подачи заявок: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06 мая 2019 г. с 8 часов 30 минут (время местное).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Дата окончания подачи заявок: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16 мая 2019 г. до 17 часов 30 минут (время местное).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Место подачи заявок для участия в конкурсном отборе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 454126, г. Челябинск, ул. Сони Кривой, д. 75, 4 этаж, кабинет 427, отдел по развитию малых форм хозяйствования, контактный телефон: 8 (351) 239 60 37, 239 60 26.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Время подачи заявок для участия в конкурсном отборе: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понедельник – четверг: 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8 часов 30 минут – 17 часов 30 минут; пятница: 8 часов 30 минут – 16 часов 15 минут, обед: 12 часов 00 минут - 12 часов 45 минут.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proofErr w:type="gramStart"/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Перечень нормативных правовых актов, регулирующих порядок проведения конкурсного отбора: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постановление Правительства Российской Федерации от 14 июля 2012 г. № 717 </w:t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«О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годы»,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постановление Правительства Челябинской области от 21.12.2016 г. № 724-П «О государственной программе Челябинской области «Развитие сельского хозяйства в Челябинской области на 2017 - 2020 годы</w:t>
      </w:r>
      <w:proofErr w:type="gramEnd"/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»;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постановление Правительства Челябинской области от 07.02.2017 г. № 29-П «О Порядке распределения в 2017-2020 годах субсидий на содействие достижению целевых показателей региональных программ развития агропромышленного комплекса»;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постановление Правительства Челябинской области от 11.04.2017 г. № 174-П «О Порядке предоставления в 2017 - 2020 годах субсидий на содействие достижению целевых показателей региональных программ развития агропромышленного комплекса» (далее именуется - Порядок).</w:t>
      </w:r>
      <w:proofErr w:type="gramEnd"/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u w:val="single"/>
        </w:rPr>
        <w:t>Максимальные размеры гранта: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 миллиона рублей, но не более 90 процентов затрат на разведение крупного рогатого скота мясного и (или) молочного направлений продуктивности, предусмотренных планом расходов начинающего фермера;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1,5 миллиона рублей, но не более 90 процентов затрат на иные направления деятельности, предусмотренных планом расходов начинающего фермера.</w:t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hyperlink r:id="rId6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Условия участия в конкурсн</w:t>
        </w:r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ом отборе</w:t>
        </w:r>
      </w:hyperlink>
      <w:hyperlink r:id="rId7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.</w:t>
        </w:r>
      </w:hyperlink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hyperlink r:id="rId8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Перечень документов, предс</w:t>
        </w:r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тавляемых заявителями для участия в конкурсном отборе</w:t>
        </w:r>
      </w:hyperlink>
      <w:hyperlink r:id="rId9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.</w:t>
        </w:r>
      </w:hyperlink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651253">
        <w:rPr>
          <w:rFonts w:ascii="Arial" w:eastAsia="Times New Roman" w:hAnsi="Arial" w:cs="Arial"/>
          <w:color w:val="1C2745"/>
          <w:sz w:val="24"/>
          <w:szCs w:val="24"/>
        </w:rPr>
        <w:br/>
      </w:r>
      <w:hyperlink r:id="rId10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Форма соглашения, предусмотренная пу</w:t>
        </w:r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нктом 33 Порядка</w:t>
        </w:r>
      </w:hyperlink>
      <w:hyperlink r:id="rId11" w:history="1">
        <w:r w:rsidRPr="00651253">
          <w:rPr>
            <w:rFonts w:ascii="Arial" w:eastAsia="Times New Roman" w:hAnsi="Arial" w:cs="Arial"/>
            <w:color w:val="5F86F2"/>
            <w:sz w:val="24"/>
            <w:szCs w:val="24"/>
          </w:rPr>
          <w:t>.</w:t>
        </w:r>
      </w:hyperlink>
    </w:p>
    <w:p w:rsidR="00000000" w:rsidRDefault="006512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253"/>
    <w:rsid w:val="0065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2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997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828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kor174.ru/include/perechen_dokum_%D0%BD%D0%B0%D1%87%D0%B8%D0%BD%D0%B0%D1%8E%D1%89%D0%B8%D0%BC%20%D1%84%D0%B5%D1%80%D0%BC%D0%B5%D1%80%D0%B0%D0%BC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kkor174.ru/include/usloviya_%D0%B4%D0%BB%D1%8F%20%D0%BD%D0%B0%D1%87%D0%B8%D0%BD%D0%B0%D1%8E%D1%89%D0%B8%D1%85%20%D1%84%D0%B5%D1%80%D0%BC%D0%B5%D1%80%D0%BE%D0%B2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kor174.ru/include/usloviya_%D0%B4%D0%BB%D1%8F%20%D0%BD%D0%B0%D1%87%D0%B8%D0%BD%D0%B0%D1%8E%D1%89%D0%B8%D1%85%20%D1%84%D0%B5%D1%80%D0%BC%D0%B5%D1%80%D0%BE%D0%B2.docx" TargetMode="External"/><Relationship Id="rId11" Type="http://schemas.openxmlformats.org/officeDocument/2006/relationships/hyperlink" Target="http://akkor174.ru/include/soglash_%D0%BD%D0%B0%D1%87%D0%B8%D0%BD%D0%B0%D1%8E%D1%89%D0%B8%D0%BC%20%D1%84%D0%B5%D1%80%D0%BC%D0%B5%D1%80%D0%B0%D0%BC.docx" TargetMode="External"/><Relationship Id="rId5" Type="http://schemas.openxmlformats.org/officeDocument/2006/relationships/hyperlink" Target="http://www.chelagro.ru/" TargetMode="External"/><Relationship Id="rId10" Type="http://schemas.openxmlformats.org/officeDocument/2006/relationships/hyperlink" Target="http://akkor174.ru/include/soglash_%D0%BD%D0%B0%D1%87%D0%B8%D0%BD%D0%B0%D1%8E%D1%89%D0%B8%D0%BC%20%D1%84%D0%B5%D1%80%D0%BC%D0%B5%D1%80%D0%B0%D0%BC.docx" TargetMode="External"/><Relationship Id="rId4" Type="http://schemas.openxmlformats.org/officeDocument/2006/relationships/hyperlink" Target="mailto:mail:%20minagro@gov74.ru" TargetMode="External"/><Relationship Id="rId9" Type="http://schemas.openxmlformats.org/officeDocument/2006/relationships/hyperlink" Target="http://akkor174.ru/include/perechen_dokum_%D0%BD%D0%B0%D1%87%D0%B8%D0%BD%D0%B0%D1%8E%D1%89%D0%B8%D0%BC%20%D1%84%D0%B5%D1%80%D0%BC%D0%B5%D1%80%D0%B0%D0%B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2019-05-08T05:20:00Z</dcterms:created>
  <dcterms:modified xsi:type="dcterms:W3CDTF">2019-05-08T05:21:00Z</dcterms:modified>
</cp:coreProperties>
</file>